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Werkblad Kant en de utilisten</w:t>
      </w:r>
    </w:p>
    <w:p w:rsidR="00000000" w:rsidDel="00000000" w:rsidP="00000000" w:rsidRDefault="00000000" w:rsidRPr="00000000" w14:paraId="00000001">
      <w:pPr>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Ethiek is het onderdeel van de filosofie dat zich bezighoudt met goed en slecht - wat maakt een handeling tot een goede handeling, wat maakt een mens tot een goed mens? </w:t>
      </w:r>
    </w:p>
    <w:p w:rsidR="00000000" w:rsidDel="00000000" w:rsidP="00000000" w:rsidRDefault="00000000" w:rsidRPr="00000000" w14:paraId="00000002">
      <w:pPr>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Kant was een filosoof die leefde in Duitsland van 1724 tot 1804. Het utilisme werd bedacht door een Engelsman, Jeremy Bentham, die leefde van 1748 tot 1832. </w:t>
      </w:r>
    </w:p>
    <w:p w:rsidR="00000000" w:rsidDel="00000000" w:rsidP="00000000" w:rsidRDefault="00000000" w:rsidRPr="00000000" w14:paraId="00000003">
      <w:pPr>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Kant en de utilisten hadden beiden een idee over wat belangrijk is voor een goede handeling. Deze ideeën komen echter totaal niet met elkaar overeen. Beide filosofen vinden nog steeds navolgers op de hedendaagse universiteiten en in de filosofische literatuur. Door dit werkblad goed te bestuderen kun je een redelijk idee krijgen van wat het verschil tussen de twee inhoudt. </w:t>
      </w:r>
    </w:p>
    <w:p w:rsidR="00000000" w:rsidDel="00000000" w:rsidP="00000000" w:rsidRDefault="00000000" w:rsidRPr="00000000" w14:paraId="00000004">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ab/>
      </w:r>
    </w:p>
    <w:tbl>
      <w:tblPr>
        <w:tblStyle w:val="Table1"/>
        <w:tblW w:w="90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55"/>
        <w:gridCol w:w="763"/>
        <w:gridCol w:w="846"/>
        <w:tblGridChange w:id="0">
          <w:tblGrid>
            <w:gridCol w:w="7455"/>
            <w:gridCol w:w="763"/>
            <w:gridCol w:w="846"/>
          </w:tblGrid>
        </w:tblGridChange>
      </w:tblGrid>
      <w:tr>
        <w:tc>
          <w:tcPr/>
          <w:p w:rsidR="00000000" w:rsidDel="00000000" w:rsidP="00000000" w:rsidRDefault="00000000" w:rsidRPr="00000000" w14:paraId="00000005">
            <w:pPr>
              <w:tabs>
                <w:tab w:val="left" w:pos="5906"/>
              </w:tabs>
              <w:contextualSpacing w:val="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6">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utilist</w:t>
            </w:r>
          </w:p>
        </w:tc>
        <w:tc>
          <w:tcPr/>
          <w:p w:rsidR="00000000" w:rsidDel="00000000" w:rsidP="00000000" w:rsidRDefault="00000000" w:rsidRPr="00000000" w14:paraId="00000007">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Kant</w:t>
            </w:r>
          </w:p>
        </w:tc>
      </w:tr>
      <w:tr>
        <w:tc>
          <w:tcPr/>
          <w:p w:rsidR="00000000" w:rsidDel="00000000" w:rsidP="00000000" w:rsidRDefault="00000000" w:rsidRPr="00000000" w14:paraId="00000008">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Slavernij van een kleine groep mensen om het geluk van een veel grotere groep te bevorderen is toegestaan</w:t>
            </w:r>
          </w:p>
        </w:tc>
        <w:tc>
          <w:tcPr/>
          <w:p w:rsidR="00000000" w:rsidDel="00000000" w:rsidP="00000000" w:rsidRDefault="00000000" w:rsidRPr="00000000" w14:paraId="00000009">
            <w:pPr>
              <w:tabs>
                <w:tab w:val="left" w:pos="5906"/>
              </w:tabs>
              <w:contextualSpacing w:val="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A">
            <w:pPr>
              <w:tabs>
                <w:tab w:val="left" w:pos="5906"/>
              </w:tabs>
              <w:contextualSpacing w:val="0"/>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0B">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Je moet in alle gevallen de waarheid vertellen</w:t>
            </w:r>
          </w:p>
          <w:p w:rsidR="00000000" w:rsidDel="00000000" w:rsidP="00000000" w:rsidRDefault="00000000" w:rsidRPr="00000000" w14:paraId="0000000C">
            <w:pPr>
              <w:tabs>
                <w:tab w:val="left" w:pos="5906"/>
              </w:tabs>
              <w:contextualSpacing w:val="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D">
            <w:pPr>
              <w:tabs>
                <w:tab w:val="left" w:pos="5906"/>
              </w:tabs>
              <w:contextualSpacing w:val="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E">
            <w:pPr>
              <w:tabs>
                <w:tab w:val="left" w:pos="5906"/>
              </w:tabs>
              <w:contextualSpacing w:val="0"/>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0F">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Het stelen van voedsel is in uitzonderlijke gevallen (bv als je anders omkomt van honger) toegestaan</w:t>
            </w:r>
          </w:p>
        </w:tc>
        <w:tc>
          <w:tcPr/>
          <w:p w:rsidR="00000000" w:rsidDel="00000000" w:rsidP="00000000" w:rsidRDefault="00000000" w:rsidRPr="00000000" w14:paraId="00000010">
            <w:pPr>
              <w:tabs>
                <w:tab w:val="left" w:pos="5906"/>
              </w:tabs>
              <w:contextualSpacing w:val="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1">
            <w:pPr>
              <w:tabs>
                <w:tab w:val="left" w:pos="5906"/>
              </w:tabs>
              <w:contextualSpacing w:val="0"/>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12">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Ik ben bozer op iemand die door niet mee te werken het cijfer van een groepsopdracht van een 7 verandert in een 6, dan op iemand die per ongeluk door het uploaden van een verkeerde versie het cijfer verandert van een 7 in een 5. </w:t>
            </w:r>
          </w:p>
        </w:tc>
        <w:tc>
          <w:tcPr/>
          <w:p w:rsidR="00000000" w:rsidDel="00000000" w:rsidP="00000000" w:rsidRDefault="00000000" w:rsidRPr="00000000" w14:paraId="00000013">
            <w:pPr>
              <w:tabs>
                <w:tab w:val="left" w:pos="5906"/>
              </w:tabs>
              <w:contextualSpacing w:val="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4">
            <w:pPr>
              <w:tabs>
                <w:tab w:val="left" w:pos="5906"/>
              </w:tabs>
              <w:contextualSpacing w:val="0"/>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15">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Stel, je hebt twee klasgenoten met dezelfde bloedgroep die allebei bijna sterven tenzij ze een nieuw orgaan krijgen, de een nieuwe longen en de ander een nieuw hart. Mag je van een derde klasgenoot verlangen dat hij zijn organen opoffert?</w:t>
            </w:r>
          </w:p>
        </w:tc>
        <w:tc>
          <w:tcPr/>
          <w:p w:rsidR="00000000" w:rsidDel="00000000" w:rsidP="00000000" w:rsidRDefault="00000000" w:rsidRPr="00000000" w14:paraId="00000016">
            <w:pPr>
              <w:tabs>
                <w:tab w:val="left" w:pos="5906"/>
              </w:tabs>
              <w:contextualSpacing w:val="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7">
            <w:pPr>
              <w:tabs>
                <w:tab w:val="left" w:pos="5906"/>
              </w:tabs>
              <w:contextualSpacing w:val="0"/>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18">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Ontrouw zijn is toegestaan, zolang je er maar voor zorgt dat je partner er op geen enkele manier last van heeft. </w:t>
            </w:r>
          </w:p>
        </w:tc>
        <w:tc>
          <w:tcPr/>
          <w:p w:rsidR="00000000" w:rsidDel="00000000" w:rsidP="00000000" w:rsidRDefault="00000000" w:rsidRPr="00000000" w14:paraId="00000019">
            <w:pPr>
              <w:tabs>
                <w:tab w:val="left" w:pos="5906"/>
              </w:tabs>
              <w:contextualSpacing w:val="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A">
            <w:pPr>
              <w:tabs>
                <w:tab w:val="left" w:pos="5906"/>
              </w:tabs>
              <w:contextualSpacing w:val="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B">
      <w:pPr>
        <w:tabs>
          <w:tab w:val="left" w:pos="5906"/>
        </w:tabs>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Belangrijkste waarde volgens de utilisten: </w:t>
      </w:r>
    </w:p>
    <w:p w:rsidR="00000000" w:rsidDel="00000000" w:rsidP="00000000" w:rsidRDefault="00000000" w:rsidRPr="00000000" w14:paraId="0000001D">
      <w:pPr>
        <w:tabs>
          <w:tab w:val="left" w:pos="5906"/>
        </w:tabs>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pos="5906"/>
        </w:tabs>
        <w:contextualSpacing w:val="0"/>
        <w:rPr>
          <w:rFonts w:ascii="Arial" w:cs="Arial" w:eastAsia="Arial" w:hAnsi="Arial"/>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F">
      <w:pPr>
        <w:tabs>
          <w:tab w:val="left" w:pos="5906"/>
        </w:tabs>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pos="5906"/>
        </w:tabs>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Belangrijkste principe volgens Kant: </w:t>
      </w:r>
    </w:p>
    <w:p w:rsidR="00000000" w:rsidDel="00000000" w:rsidP="00000000" w:rsidRDefault="00000000" w:rsidRPr="00000000" w14:paraId="00000021">
      <w:pPr>
        <w:tabs>
          <w:tab w:val="left" w:pos="5906"/>
        </w:tabs>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pos="5906"/>
        </w:tabs>
        <w:contextualSpacing w:val="0"/>
        <w:rPr>
          <w:rFonts w:ascii="Arial" w:cs="Arial" w:eastAsia="Arial" w:hAnsi="Arial"/>
          <w:sz w:val="24"/>
          <w:szCs w:val="24"/>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