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Werkblad Kant en de utilisten</w:t>
      </w:r>
    </w:p>
    <w:p w:rsidR="00000000" w:rsidDel="00000000" w:rsidP="00000000" w:rsidRDefault="00000000" w:rsidRPr="00000000" w14:paraId="00000001">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Ethiek is het onderdeel van de filosofie dat zich bezighoudt met goed en slecht - wat maakt een handeling tot een goede handeling, wat maakt een mens tot een goed mens? </w:t>
      </w:r>
    </w:p>
    <w:p w:rsidR="00000000" w:rsidDel="00000000" w:rsidP="00000000" w:rsidRDefault="00000000" w:rsidRPr="00000000" w14:paraId="00000002">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Kant was een filosoof die leefde in Duitsland van 1724 tot 1804. Het utilisme werd bedacht door een Engelsman, Jeremy Bentham, die leefde van 1748 tot 1832. </w:t>
      </w:r>
    </w:p>
    <w:p w:rsidR="00000000" w:rsidDel="00000000" w:rsidP="00000000" w:rsidRDefault="00000000" w:rsidRPr="00000000" w14:paraId="00000003">
      <w:pP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Kant en de utilisten hadden beiden een idee over wat belangrijk is voor een goede handeling. Deze ideeën komen echter totaal niet met elkaar overeen. Beide filosofen vinden nog steeds navolgers op de hedendaagse universiteiten en in de filosofische literatuur. Door dit werkblad goed te bestuderen kun je een redelijk idee krijgen van wat het verschil tussen de twee inhoudt. </w:t>
      </w:r>
    </w:p>
    <w:p w:rsidR="00000000" w:rsidDel="00000000" w:rsidP="00000000" w:rsidRDefault="00000000" w:rsidRPr="00000000" w14:paraId="00000004">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ab/>
      </w:r>
    </w:p>
    <w:tbl>
      <w:tblPr>
        <w:tblStyle w:val="Table1"/>
        <w:tblW w:w="90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5"/>
        <w:gridCol w:w="763"/>
        <w:gridCol w:w="846"/>
        <w:tblGridChange w:id="0">
          <w:tblGrid>
            <w:gridCol w:w="7455"/>
            <w:gridCol w:w="763"/>
            <w:gridCol w:w="846"/>
          </w:tblGrid>
        </w:tblGridChange>
      </w:tblGrid>
      <w:tr>
        <w:tc>
          <w:tcPr/>
          <w:p w:rsidR="00000000" w:rsidDel="00000000" w:rsidP="00000000" w:rsidRDefault="00000000" w:rsidRPr="00000000" w14:paraId="00000005">
            <w:pPr>
              <w:tabs>
                <w:tab w:val="left" w:pos="5906"/>
              </w:tabs>
              <w:contextualSpacing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6">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utilist</w:t>
            </w:r>
          </w:p>
        </w:tc>
        <w:tc>
          <w:tcPr/>
          <w:p w:rsidR="00000000" w:rsidDel="00000000" w:rsidP="00000000" w:rsidRDefault="00000000" w:rsidRPr="00000000" w14:paraId="00000007">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Kant</w:t>
            </w:r>
          </w:p>
        </w:tc>
      </w:tr>
      <w:tr>
        <w:tc>
          <w:tcPr/>
          <w:p w:rsidR="00000000" w:rsidDel="00000000" w:rsidP="00000000" w:rsidRDefault="00000000" w:rsidRPr="00000000" w14:paraId="00000008">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Slavernij van een kleine groep mensen om het geluk van een veel grotere groep te bevorderen is toegestaan</w:t>
            </w:r>
          </w:p>
        </w:tc>
        <w:tc>
          <w:tcPr/>
          <w:p w:rsidR="00000000" w:rsidDel="00000000" w:rsidP="00000000" w:rsidRDefault="00000000" w:rsidRPr="00000000" w14:paraId="00000009">
            <w:pPr>
              <w:tabs>
                <w:tab w:val="left" w:pos="5906"/>
              </w:tabs>
              <w:contextualSpacing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A">
            <w:pPr>
              <w:tabs>
                <w:tab w:val="left" w:pos="5906"/>
              </w:tabs>
              <w:contextualSpacing w:val="0"/>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0B">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Je moet in alle gevallen de waarheid vertellen</w:t>
            </w:r>
          </w:p>
          <w:p w:rsidR="00000000" w:rsidDel="00000000" w:rsidP="00000000" w:rsidRDefault="00000000" w:rsidRPr="00000000" w14:paraId="0000000C">
            <w:pPr>
              <w:tabs>
                <w:tab w:val="left" w:pos="5906"/>
              </w:tabs>
              <w:contextualSpacing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D">
            <w:pPr>
              <w:tabs>
                <w:tab w:val="left" w:pos="5906"/>
              </w:tabs>
              <w:contextualSpacing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E">
            <w:pPr>
              <w:tabs>
                <w:tab w:val="left" w:pos="5906"/>
              </w:tabs>
              <w:contextualSpacing w:val="0"/>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0F">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Het stelen van voedsel is in uitzonderlijke gevallen (bv als je anders omkomt van honger) toegestaan</w:t>
            </w:r>
          </w:p>
        </w:tc>
        <w:tc>
          <w:tcPr/>
          <w:p w:rsidR="00000000" w:rsidDel="00000000" w:rsidP="00000000" w:rsidRDefault="00000000" w:rsidRPr="00000000" w14:paraId="00000010">
            <w:pPr>
              <w:tabs>
                <w:tab w:val="left" w:pos="5906"/>
              </w:tabs>
              <w:contextualSpacing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1">
            <w:pPr>
              <w:tabs>
                <w:tab w:val="left" w:pos="5906"/>
              </w:tabs>
              <w:contextualSpacing w:val="0"/>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12">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Ik ben bozer op iemand die door niet mee te werken het cijfer van een groepsopdracht van een 7 verandert in een 6, dan op iemand die per ongeluk door het uploaden van een verkeerde versie het cijfer verandert van een 7 in een 5. </w:t>
            </w:r>
          </w:p>
        </w:tc>
        <w:tc>
          <w:tcPr/>
          <w:p w:rsidR="00000000" w:rsidDel="00000000" w:rsidP="00000000" w:rsidRDefault="00000000" w:rsidRPr="00000000" w14:paraId="00000013">
            <w:pPr>
              <w:tabs>
                <w:tab w:val="left" w:pos="5906"/>
              </w:tabs>
              <w:contextualSpacing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4">
            <w:pPr>
              <w:tabs>
                <w:tab w:val="left" w:pos="5906"/>
              </w:tabs>
              <w:contextualSpacing w:val="0"/>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15">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Stel, je hebt twee klasgenoten met dezelfde bloedgroep die allebei bijna sterven tenzij ze een nieuw orgaan krijgen, de een nieuwe longen en de ander een nieuw hart. Mag je van een derde klasgenoot verlangen dat hij zijn organen opoffert?</w:t>
            </w:r>
          </w:p>
        </w:tc>
        <w:tc>
          <w:tcPr/>
          <w:p w:rsidR="00000000" w:rsidDel="00000000" w:rsidP="00000000" w:rsidRDefault="00000000" w:rsidRPr="00000000" w14:paraId="00000016">
            <w:pPr>
              <w:tabs>
                <w:tab w:val="left" w:pos="5906"/>
              </w:tabs>
              <w:contextualSpacing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7">
            <w:pPr>
              <w:tabs>
                <w:tab w:val="left" w:pos="5906"/>
              </w:tabs>
              <w:contextualSpacing w:val="0"/>
              <w:rPr>
                <w:rFonts w:ascii="Arial" w:cs="Arial" w:eastAsia="Arial" w:hAnsi="Arial"/>
                <w:sz w:val="24"/>
                <w:szCs w:val="24"/>
              </w:rPr>
            </w:pPr>
            <w:r w:rsidDel="00000000" w:rsidR="00000000" w:rsidRPr="00000000">
              <w:rPr>
                <w:rtl w:val="0"/>
              </w:rPr>
            </w:r>
          </w:p>
        </w:tc>
      </w:tr>
      <w:tr>
        <w:tc>
          <w:tcPr/>
          <w:p w:rsidR="00000000" w:rsidDel="00000000" w:rsidP="00000000" w:rsidRDefault="00000000" w:rsidRPr="00000000" w14:paraId="00000018">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Ontrouw zijn is toegestaan, zolang je er maar voor zorgt dat je partner er op geen enkele manier last van heeft. </w:t>
            </w:r>
          </w:p>
        </w:tc>
        <w:tc>
          <w:tcPr/>
          <w:p w:rsidR="00000000" w:rsidDel="00000000" w:rsidP="00000000" w:rsidRDefault="00000000" w:rsidRPr="00000000" w14:paraId="00000019">
            <w:pPr>
              <w:tabs>
                <w:tab w:val="left" w:pos="5906"/>
              </w:tabs>
              <w:contextualSpacing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A">
            <w:pPr>
              <w:tabs>
                <w:tab w:val="left" w:pos="5906"/>
              </w:tabs>
              <w:contextualSpacing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B">
      <w:pPr>
        <w:tabs>
          <w:tab w:val="left" w:pos="5906"/>
        </w:tabs>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Belangrijkste waarde volgens de utilisten: </w:t>
      </w:r>
    </w:p>
    <w:p w:rsidR="00000000" w:rsidDel="00000000" w:rsidP="00000000" w:rsidRDefault="00000000" w:rsidRPr="00000000" w14:paraId="0000001D">
      <w:pPr>
        <w:tabs>
          <w:tab w:val="left" w:pos="5906"/>
        </w:tabs>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tabs>
          <w:tab w:val="left" w:pos="5906"/>
        </w:tabs>
        <w:contextualSpacing w:val="0"/>
        <w:rPr>
          <w:rFonts w:ascii="Arial" w:cs="Arial" w:eastAsia="Arial" w:hAnsi="Arial"/>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F">
      <w:pPr>
        <w:tabs>
          <w:tab w:val="left" w:pos="5906"/>
        </w:tabs>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tabs>
          <w:tab w:val="left" w:pos="5906"/>
        </w:tabs>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Belangrijkste principe volgens Kant: </w:t>
      </w:r>
    </w:p>
    <w:p w:rsidR="00000000" w:rsidDel="00000000" w:rsidP="00000000" w:rsidRDefault="00000000" w:rsidRPr="00000000" w14:paraId="00000021">
      <w:pPr>
        <w:tabs>
          <w:tab w:val="left" w:pos="5906"/>
        </w:tabs>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tabs>
          <w:tab w:val="left" w:pos="5906"/>
        </w:tabs>
        <w:contextualSpacing w:val="0"/>
        <w:rPr>
          <w:rFonts w:ascii="Arial" w:cs="Arial" w:eastAsia="Arial" w:hAnsi="Arial"/>
          <w:sz w:val="24"/>
          <w:szCs w:val="24"/>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